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jc w:val="center"/>
      </w:pPr>
      <w:r>
        <w:t xml:space="preserve">CONTRACT</w:t>
      </w:r>
      <w:r>
        <w:t xml:space="preserve"> </w:t>
      </w:r>
      <w:r>
        <w:t xml:space="preserve">DE</w:t>
      </w:r>
      <w:r>
        <w:t xml:space="preserve"> </w:t>
      </w:r>
      <w:r>
        <w:t xml:space="preserve">SERVICII</w:t>
      </w:r>
    </w:p>
    <w:p>
      <w:pPr>
        <w:pStyle w:val="Subtitle"/>
        <w:jc w:val="center"/>
      </w:pPr>
      <w:r>
        <w:t xml:space="preserve">nr.</w:t>
      </w:r>
      <w:r>
        <w:t xml:space="preserve"> </w:t>
      </w:r>
      <w:r>
        <w:t xml:space="preserve">[</w:t>
      </w:r>
      <w:r>
        <w:t xml:space="preserve"> </w:t>
      </w:r>
      <w:r>
        <w:t xml:space="preserve">]</w:t>
      </w:r>
      <w:r>
        <w:t xml:space="preserve"> </w:t>
      </w:r>
      <w:r>
        <w:t xml:space="preserve">/</w:t>
      </w:r>
      <w:r>
        <w:t xml:space="preserve"> </w:t>
      </w:r>
      <w:r>
        <w:t xml:space="preserve">[zz.ll.aaaa]</w:t>
      </w:r>
    </w:p>
    <w:p>
      <w:pPr>
        <w:pStyle w:val="FirstParagraph"/>
      </w:pPr>
      <w:r>
        <w:rPr>
          <w:bCs/>
          <w:b/>
        </w:rPr>
        <w:t xml:space="preserve">Achiziție directă AD26 – Servicii de consultanță pentru derularea achizițiilor publice – Proiect „ProCAES” – cod SMIS 329008, finanțat prin POCIDIF 2021–2027</w:t>
      </w:r>
    </w:p>
    <w:bookmarkStart w:id="20" w:name="preambul"/>
    <w:p>
      <w:pPr>
        <w:pStyle w:val="Heading1"/>
      </w:pPr>
      <w:r>
        <w:t xml:space="preserve">Preambul</w:t>
      </w:r>
    </w:p>
    <w:p>
      <w:pPr>
        <w:pStyle w:val="FirstParagraph"/>
      </w:pPr>
      <w:r>
        <w:t xml:space="preserve">În temeiul Legii nr. 98/2016 privind achizițiile publice și al anexei la HG nr. 395/2016, s-a încheiat prezentul contract de servicii, între:</w:t>
      </w:r>
    </w:p>
    <w:p>
      <w:pPr>
        <w:pStyle w:val="BodyText"/>
      </w:pPr>
      <w:r>
        <w:rPr>
          <w:bCs/>
          <w:b/>
        </w:rPr>
        <w:t xml:space="preserve">ICPEST SRL</w:t>
      </w:r>
      <w:r>
        <w:t xml:space="preserve">, cu sediul în București, Str. Drumul Bacriului nr. 16A–16B, sector 6, înregistrată la ONRC sub nr. J1991012076404, CUI RO342119, cont IBAN [ ] deschis la [ ], reprezentată prin [nume], în calitate de [funcție], denumită în continuare</w:t>
      </w:r>
      <w:r>
        <w:t xml:space="preserve"> </w:t>
      </w:r>
      <w:r>
        <w:rPr>
          <w:bCs/>
          <w:b/>
        </w:rPr>
        <w:t xml:space="preserve">achizitorul</w:t>
      </w:r>
      <w:r>
        <w:t xml:space="preserve">,</w:t>
      </w:r>
    </w:p>
    <w:p>
      <w:pPr>
        <w:pStyle w:val="BodyText"/>
      </w:pPr>
      <w:r>
        <w:t xml:space="preserve">și</w:t>
      </w:r>
    </w:p>
    <w:p>
      <w:pPr>
        <w:pStyle w:val="BodyText"/>
      </w:pPr>
      <w:r>
        <w:rPr>
          <w:bCs/>
          <w:b/>
        </w:rPr>
        <w:t xml:space="preserve">[denumirea operatorului economic]</w:t>
      </w:r>
      <w:r>
        <w:t xml:space="preserve">, cu sediul în [ ], înregistrat sub nr. [ ], CUI [ ], cont IBAN [ ] deschis la [ ], reprezentat prin [nume], în calitate de [funcție], denumit în continuare</w:t>
      </w:r>
      <w:r>
        <w:t xml:space="preserve"> </w:t>
      </w:r>
      <w:r>
        <w:rPr>
          <w:bCs/>
          <w:b/>
        </w:rPr>
        <w:t xml:space="preserve">prestatorul</w:t>
      </w:r>
      <w:r>
        <w:t xml:space="preserve">.</w:t>
      </w:r>
    </w:p>
    <w:bookmarkEnd w:id="20"/>
    <w:bookmarkStart w:id="21" w:name="definiții"/>
    <w:p>
      <w:pPr>
        <w:pStyle w:val="Heading1"/>
      </w:pPr>
      <w:r>
        <w:t xml:space="preserve">1. Definiții</w:t>
      </w:r>
    </w:p>
    <w:p>
      <w:pPr>
        <w:pStyle w:val="FirstParagraph"/>
      </w:pPr>
      <w:r>
        <w:t xml:space="preserve">1.1. În prezentul contract, termenii de mai jos au următoarele înțelesuri:</w:t>
      </w:r>
    </w:p>
    <w:p>
      <w:pPr>
        <w:numPr>
          <w:ilvl w:val="0"/>
          <w:numId w:val="1001"/>
        </w:numPr>
      </w:pPr>
      <w:r>
        <w:rPr>
          <w:bCs/>
          <w:b/>
        </w:rPr>
        <w:t xml:space="preserve">contract</w:t>
      </w:r>
      <w:r>
        <w:t xml:space="preserve"> </w:t>
      </w:r>
      <w:r>
        <w:t xml:space="preserve">– prezentul contract și toate anexele sale;</w:t>
      </w:r>
    </w:p>
    <w:p>
      <w:pPr>
        <w:numPr>
          <w:ilvl w:val="0"/>
          <w:numId w:val="1001"/>
        </w:numPr>
      </w:pPr>
      <w:r>
        <w:rPr>
          <w:bCs/>
          <w:b/>
        </w:rPr>
        <w:t xml:space="preserve">achizitor și prestator</w:t>
      </w:r>
      <w:r>
        <w:t xml:space="preserve"> </w:t>
      </w:r>
      <w:r>
        <w:t xml:space="preserve">– părțile contractante, astfel cum sunt numite în prezentul contract;</w:t>
      </w:r>
    </w:p>
    <w:p>
      <w:pPr>
        <w:numPr>
          <w:ilvl w:val="0"/>
          <w:numId w:val="1001"/>
        </w:numPr>
      </w:pPr>
      <w:r>
        <w:rPr>
          <w:bCs/>
          <w:b/>
        </w:rPr>
        <w:t xml:space="preserve">prețul contractului</w:t>
      </w:r>
      <w:r>
        <w:t xml:space="preserve"> </w:t>
      </w:r>
      <w:r>
        <w:t xml:space="preserve">– prețul plătibil prestatorului de către achizitor, în baza contractului, pentru îndeplinirea integrală și corespunzătoare a obligațiilor asumate;</w:t>
      </w:r>
    </w:p>
    <w:p>
      <w:pPr>
        <w:numPr>
          <w:ilvl w:val="0"/>
          <w:numId w:val="1001"/>
        </w:numPr>
      </w:pPr>
      <w:r>
        <w:rPr>
          <w:bCs/>
          <w:b/>
        </w:rPr>
        <w:t xml:space="preserve">servicii</w:t>
      </w:r>
      <w:r>
        <w:t xml:space="preserve"> </w:t>
      </w:r>
      <w:r>
        <w:t xml:space="preserve">– activitățile prevăzute în caietul de sarcini;</w:t>
      </w:r>
    </w:p>
    <w:p>
      <w:pPr>
        <w:numPr>
          <w:ilvl w:val="0"/>
          <w:numId w:val="1001"/>
        </w:numPr>
      </w:pPr>
      <w:r>
        <w:rPr>
          <w:bCs/>
          <w:b/>
        </w:rPr>
        <w:t xml:space="preserve">achiziții susținute</w:t>
      </w:r>
      <w:r>
        <w:t xml:space="preserve"> </w:t>
      </w:r>
      <w:r>
        <w:t xml:space="preserve">– cele 9 achiziții ale achizitorului din PAP ProCAES enumerate în caietul de sarcini;</w:t>
      </w:r>
    </w:p>
    <w:p>
      <w:pPr>
        <w:numPr>
          <w:ilvl w:val="0"/>
          <w:numId w:val="1001"/>
        </w:numPr>
      </w:pPr>
      <w:r>
        <w:rPr>
          <w:bCs/>
          <w:b/>
        </w:rPr>
        <w:t xml:space="preserve">livrabil</w:t>
      </w:r>
      <w:r>
        <w:t xml:space="preserve"> </w:t>
      </w:r>
      <w:r>
        <w:t xml:space="preserve">– documentul sau rezultatul prevăzut în cap. 5 al caietului de sarcini;</w:t>
      </w:r>
    </w:p>
    <w:p>
      <w:pPr>
        <w:numPr>
          <w:ilvl w:val="0"/>
          <w:numId w:val="1001"/>
        </w:numPr>
      </w:pPr>
      <w:r>
        <w:rPr>
          <w:bCs/>
          <w:b/>
        </w:rPr>
        <w:t xml:space="preserve">expert-cheie</w:t>
      </w:r>
      <w:r>
        <w:t xml:space="preserve"> </w:t>
      </w:r>
      <w:r>
        <w:t xml:space="preserve">– persoana nominalizată în ofertă, care coordonează prestarea serviciilor;</w:t>
      </w:r>
    </w:p>
    <w:p>
      <w:pPr>
        <w:numPr>
          <w:ilvl w:val="0"/>
          <w:numId w:val="1001"/>
        </w:numPr>
      </w:pPr>
      <w:r>
        <w:rPr>
          <w:bCs/>
          <w:b/>
        </w:rPr>
        <w:t xml:space="preserve">forță majoră</w:t>
      </w:r>
      <w:r>
        <w:t xml:space="preserve"> </w:t>
      </w:r>
      <w:r>
        <w:t xml:space="preserve">– un eveniment mai presus de controlul părților, care nu se datorează greșelii sau vinei acestora, care nu putea fi prevăzut la încheierea contractului și care face imposibilă executarea contractului;</w:t>
      </w:r>
    </w:p>
    <w:p>
      <w:pPr>
        <w:numPr>
          <w:ilvl w:val="0"/>
          <w:numId w:val="1001"/>
        </w:numPr>
      </w:pPr>
      <w:r>
        <w:rPr>
          <w:bCs/>
          <w:b/>
        </w:rPr>
        <w:t xml:space="preserve">zi</w:t>
      </w:r>
      <w:r>
        <w:t xml:space="preserve"> </w:t>
      </w:r>
      <w:r>
        <w:t xml:space="preserve">– zi calendaristică, dacă nu se precizează altfel.</w:t>
      </w:r>
    </w:p>
    <w:bookmarkEnd w:id="21"/>
    <w:bookmarkStart w:id="22" w:name="interpretare"/>
    <w:p>
      <w:pPr>
        <w:pStyle w:val="Heading1"/>
      </w:pPr>
      <w:r>
        <w:t xml:space="preserve">2. Interpretare</w:t>
      </w:r>
    </w:p>
    <w:p>
      <w:pPr>
        <w:pStyle w:val="FirstParagraph"/>
      </w:pPr>
      <w:r>
        <w:t xml:space="preserve">2.1. Cuvintele la forma singular includ forma de plural și viceversa, acolo unde este cazul.</w:t>
      </w:r>
    </w:p>
    <w:p>
      <w:pPr>
        <w:pStyle w:val="BodyText"/>
      </w:pPr>
      <w:r>
        <w:t xml:space="preserve">2.2. Termenul „zi” sau „zile” reprezintă zile calendaristice, dacă nu se specifică „zile lucrătoare”.</w:t>
      </w:r>
    </w:p>
    <w:bookmarkEnd w:id="22"/>
    <w:bookmarkStart w:id="23" w:name="obiectul-contractului"/>
    <w:p>
      <w:pPr>
        <w:pStyle w:val="Heading1"/>
      </w:pPr>
      <w:r>
        <w:t xml:space="preserve">3. Obiectul contractului</w:t>
      </w:r>
    </w:p>
    <w:p>
      <w:pPr>
        <w:pStyle w:val="FirstParagraph"/>
      </w:pPr>
      <w:r>
        <w:t xml:space="preserve">3.1. Prestatorul se obligă să presteze servicii de consultanță pentru derularea achizițiilor publice ale achizitorului din proiectul ProCAES, conform caietului de sarcini și ofertei sale.</w:t>
      </w:r>
    </w:p>
    <w:p>
      <w:pPr>
        <w:pStyle w:val="BodyText"/>
      </w:pPr>
      <w:r>
        <w:t xml:space="preserve">3.2. Achizitorul se obligă să plătească prețul convenit pentru serviciile prestate și recepționate.</w:t>
      </w:r>
    </w:p>
    <w:bookmarkEnd w:id="23"/>
    <w:bookmarkStart w:id="24" w:name="prețul-contractului"/>
    <w:p>
      <w:pPr>
        <w:pStyle w:val="Heading1"/>
      </w:pPr>
      <w:r>
        <w:t xml:space="preserve">4. Prețul contractului</w:t>
      </w:r>
    </w:p>
    <w:p>
      <w:pPr>
        <w:pStyle w:val="FirstParagraph"/>
      </w:pPr>
      <w:r>
        <w:t xml:space="preserve">4.1. Prețul contractului este de</w:t>
      </w:r>
      <w:r>
        <w:t xml:space="preserve"> </w:t>
      </w:r>
      <w:r>
        <w:rPr>
          <w:bCs/>
          <w:b/>
        </w:rPr>
        <w:t xml:space="preserve">[ ] lei fără TVA</w:t>
      </w:r>
      <w:r>
        <w:t xml:space="preserve">, la care se adaugă TVA de [ ] lei [sau: prestatorul nu este plătitor de TVA], defalcat pe achiziții conform centralizatorului din ofertă (Anexa 2).</w:t>
      </w:r>
    </w:p>
    <w:p>
      <w:pPr>
        <w:pStyle w:val="BodyText"/>
      </w:pPr>
      <w:r>
        <w:t xml:space="preserve">4.2. Prețul este ferm și include toate costurile prestatorului, inclusiv deplasările. Nu se aplică ajustarea prețului.</w:t>
      </w:r>
    </w:p>
    <w:bookmarkEnd w:id="24"/>
    <w:bookmarkStart w:id="25" w:name="durata-contractului"/>
    <w:p>
      <w:pPr>
        <w:pStyle w:val="Heading1"/>
      </w:pPr>
      <w:r>
        <w:t xml:space="preserve">5. Durata contractului</w:t>
      </w:r>
    </w:p>
    <w:p>
      <w:pPr>
        <w:pStyle w:val="FirstParagraph"/>
      </w:pPr>
      <w:r>
        <w:t xml:space="preserve">5.1. Contractul intră în vigoare la data semnării de către ambele părți și constituirii garanției de bună execuție.</w:t>
      </w:r>
    </w:p>
    <w:p>
      <w:pPr>
        <w:pStyle w:val="BodyText"/>
      </w:pPr>
      <w:r>
        <w:t xml:space="preserve">5.2. Durata contractului este de la intrarea în vigoare până la finalizarea achizițiilor susținute și recepția contractelor rezultate, dar nu mai târziu de [data].</w:t>
      </w:r>
    </w:p>
    <w:p>
      <w:pPr>
        <w:pStyle w:val="BodyText"/>
      </w:pPr>
      <w:r>
        <w:t xml:space="preserve">5.3. Dacă implementarea proiectului ProCAES se prelungește, durata contractului se poate prelungi prin act adițional, fără modificarea prețului, în condițiile art. 221 din Legea nr. 98/2016.</w:t>
      </w:r>
    </w:p>
    <w:bookmarkEnd w:id="25"/>
    <w:bookmarkStart w:id="26" w:name="documentele-contractului"/>
    <w:p>
      <w:pPr>
        <w:pStyle w:val="Heading1"/>
      </w:pPr>
      <w:r>
        <w:t xml:space="preserve">6. Documentele contractului</w:t>
      </w:r>
    </w:p>
    <w:p>
      <w:pPr>
        <w:pStyle w:val="FirstParagraph"/>
      </w:pPr>
      <w:r>
        <w:t xml:space="preserve">6.1. Documentele contractului sunt: caietul de sarcini (Anexa 1); oferta prestatorului (Anexa 2); dovada constituirii garanției de bună execuție (Anexa 3); calendarul achizițiilor convenit de părți (Anexa 4); actele adiționale, dacă este cazul.</w:t>
      </w:r>
    </w:p>
    <w:p>
      <w:pPr>
        <w:pStyle w:val="BodyText"/>
      </w:pPr>
      <w:r>
        <w:t xml:space="preserve">6.2. În caz de neconcordanță, caietul de sarcini prevalează față de ofertă.</w:t>
      </w:r>
    </w:p>
    <w:bookmarkEnd w:id="26"/>
    <w:bookmarkStart w:id="27" w:name="obligațiile-prestatorului"/>
    <w:p>
      <w:pPr>
        <w:pStyle w:val="Heading1"/>
      </w:pPr>
      <w:r>
        <w:t xml:space="preserve">7. Obligațiile prestatorului</w:t>
      </w:r>
    </w:p>
    <w:p>
      <w:pPr>
        <w:pStyle w:val="FirstParagraph"/>
      </w:pPr>
      <w:r>
        <w:t xml:space="preserve">7.1. Prestatorul se obligă:</w:t>
      </w:r>
    </w:p>
    <w:p>
      <w:pPr>
        <w:numPr>
          <w:ilvl w:val="0"/>
          <w:numId w:val="1002"/>
        </w:numPr>
      </w:pPr>
      <w:r>
        <w:t xml:space="preserve">să presteze serviciile din caietul de sarcini cu profesionalism și cu respectarea legislației privind achizițiile publice și a regulilor programului POCIDIF;</w:t>
      </w:r>
    </w:p>
    <w:p>
      <w:pPr>
        <w:numPr>
          <w:ilvl w:val="0"/>
          <w:numId w:val="1002"/>
        </w:numPr>
      </w:pPr>
      <w:r>
        <w:t xml:space="preserve">să predea livrabilele în termenele din caietul de sarcini și să le revizuiască în 3 zile lucrătoare de la primirea observațiilor achizitorului;</w:t>
      </w:r>
    </w:p>
    <w:p>
      <w:pPr>
        <w:numPr>
          <w:ilvl w:val="0"/>
          <w:numId w:val="1002"/>
        </w:numPr>
      </w:pPr>
      <w:r>
        <w:t xml:space="preserve">să asigure coordonarea serviciilor prin expertul-cheie; înlocuirea acestuia se face numai cu acordul scris al achizitorului și cu o persoană care îndeplinește cerințele minime din caietul de sarcini;</w:t>
      </w:r>
    </w:p>
    <w:p>
      <w:pPr>
        <w:numPr>
          <w:ilvl w:val="0"/>
          <w:numId w:val="1002"/>
        </w:numPr>
      </w:pPr>
      <w:r>
        <w:t xml:space="preserve">să transmită raportul lunar de activitate până în ziua de 5 a lunii următoare;</w:t>
      </w:r>
    </w:p>
    <w:p>
      <w:pPr>
        <w:numPr>
          <w:ilvl w:val="0"/>
          <w:numId w:val="1002"/>
        </w:numPr>
      </w:pPr>
      <w:r>
        <w:t xml:space="preserve">să semneze, pentru fiecare procedură în care sprijină comisia de evaluare, declarația de confidențialitate și imparțialitate prevăzută la art. 126 din anexa la HG nr. 395/2016;</w:t>
      </w:r>
    </w:p>
    <w:p>
      <w:pPr>
        <w:numPr>
          <w:ilvl w:val="0"/>
          <w:numId w:val="1002"/>
        </w:numPr>
      </w:pPr>
      <w:r>
        <w:t xml:space="preserve">să nu participe, direct sau prin persoane afiliate, ca ofertant, asociat, subcontractant sau terț susținător, la achizițiile susținute și să nu se afle în situațiile prevăzute la art. 59–60 din Legea nr. 98/2016 și la art. 61 din Regulamentul (UE, Euratom) 2024/2509 față de ofertanții la acestea;</w:t>
      </w:r>
    </w:p>
    <w:p>
      <w:pPr>
        <w:numPr>
          <w:ilvl w:val="0"/>
          <w:numId w:val="1002"/>
        </w:numPr>
      </w:pPr>
      <w:r>
        <w:t xml:space="preserve">să respecte obligațiile din domeniile mediului, social, al relațiilor de muncă și al securității și sănătății în muncă (art. 51 din Legea nr. 98/2016);</w:t>
      </w:r>
    </w:p>
    <w:p>
      <w:pPr>
        <w:numPr>
          <w:ilvl w:val="0"/>
          <w:numId w:val="1002"/>
        </w:numPr>
      </w:pPr>
      <w:r>
        <w:t xml:space="preserve">să permită accesul Autorității de Management, al Comisiei Europene, al Curții de Conturi, al OLAF și al DLAF la documentele privind serviciile și să le păstreze pe perioada prevăzută de contractul de finanțare;</w:t>
      </w:r>
    </w:p>
    <w:p>
      <w:pPr>
        <w:numPr>
          <w:ilvl w:val="0"/>
          <w:numId w:val="1002"/>
        </w:numPr>
      </w:pPr>
      <w:r>
        <w:t xml:space="preserve">să aplice pe livrabile elementele de identitate vizuală ale proiectului.</w:t>
      </w:r>
    </w:p>
    <w:p>
      <w:pPr>
        <w:pStyle w:val="FirstParagraph"/>
      </w:pPr>
      <w:r>
        <w:t xml:space="preserve">7.2. Prestatorul răspunde pentru corectitudinea documentelor pe care le elaborează și le remediază pe cheltuiala sa. Răspunderea pentru specificațiile tehnice și pentru deciziile adoptate în achiziții rămâne a achizitorului.</w:t>
      </w:r>
    </w:p>
    <w:bookmarkEnd w:id="27"/>
    <w:bookmarkStart w:id="28" w:name="obligațiile-achizitorului"/>
    <w:p>
      <w:pPr>
        <w:pStyle w:val="Heading1"/>
      </w:pPr>
      <w:r>
        <w:t xml:space="preserve">8. Obligațiile achizitorului</w:t>
      </w:r>
    </w:p>
    <w:p>
      <w:pPr>
        <w:pStyle w:val="FirstParagraph"/>
      </w:pPr>
      <w:r>
        <w:t xml:space="preserve">8.1. Achizitorul se obligă:</w:t>
      </w:r>
    </w:p>
    <w:p>
      <w:pPr>
        <w:numPr>
          <w:ilvl w:val="0"/>
          <w:numId w:val="1003"/>
        </w:numPr>
      </w:pPr>
      <w:r>
        <w:t xml:space="preserve">să transmită prestatorului în timp util temele tehnice, specificațiile și informațiile necesare;</w:t>
      </w:r>
    </w:p>
    <w:p>
      <w:pPr>
        <w:numPr>
          <w:ilvl w:val="0"/>
          <w:numId w:val="1003"/>
        </w:numPr>
      </w:pPr>
      <w:r>
        <w:t xml:space="preserve">să desemneze o persoană de legătură;</w:t>
      </w:r>
    </w:p>
    <w:p>
      <w:pPr>
        <w:numPr>
          <w:ilvl w:val="0"/>
          <w:numId w:val="1003"/>
        </w:numPr>
      </w:pPr>
      <w:r>
        <w:t xml:space="preserve">să asigure accesul prestatorului în SEAP prin utilizatorii proprii, în limitele necesare serviciilor;</w:t>
      </w:r>
    </w:p>
    <w:p>
      <w:pPr>
        <w:numPr>
          <w:ilvl w:val="0"/>
          <w:numId w:val="1003"/>
        </w:numPr>
      </w:pPr>
      <w:r>
        <w:t xml:space="preserve">să aprobe sau să formuleze observații asupra livrabilelor în 5 zile lucrătoare de la primire;</w:t>
      </w:r>
    </w:p>
    <w:p>
      <w:pPr>
        <w:numPr>
          <w:ilvl w:val="0"/>
          <w:numId w:val="1003"/>
        </w:numPr>
      </w:pPr>
      <w:r>
        <w:t xml:space="preserve">să recepționeze serviciile și să plătească prețul, în condițiile contractului.</w:t>
      </w:r>
    </w:p>
    <w:bookmarkEnd w:id="28"/>
    <w:bookmarkStart w:id="29" w:name="recepția-serviciilor"/>
    <w:p>
      <w:pPr>
        <w:pStyle w:val="Heading1"/>
      </w:pPr>
      <w:r>
        <w:t xml:space="preserve">9. Recepția serviciilor</w:t>
      </w:r>
    </w:p>
    <w:p>
      <w:pPr>
        <w:pStyle w:val="FirstParagraph"/>
      </w:pPr>
      <w:r>
        <w:t xml:space="preserve">9.1. Recepția se face prin proces-verbal de recepție, pentru fiecare eveniment de plată din caietul de sarcini, pe baza raportului de activitate și a livrabilelor aprobate.</w:t>
      </w:r>
    </w:p>
    <w:p>
      <w:pPr>
        <w:pStyle w:val="BodyText"/>
      </w:pPr>
      <w:r>
        <w:t xml:space="preserve">9.2. Dacă se constată deficiențe, prestatorul le remediază în 5 zile lucrătoare, fără costuri suplimentare.</w:t>
      </w:r>
    </w:p>
    <w:bookmarkEnd w:id="29"/>
    <w:bookmarkStart w:id="30" w:name="modalități-de-plată"/>
    <w:p>
      <w:pPr>
        <w:pStyle w:val="Heading1"/>
      </w:pPr>
      <w:r>
        <w:t xml:space="preserve">10. Modalități de plată</w:t>
      </w:r>
    </w:p>
    <w:p>
      <w:pPr>
        <w:pStyle w:val="FirstParagraph"/>
      </w:pPr>
      <w:r>
        <w:t xml:space="preserve">10.1. Pentru fiecare achiziție susținută, plata se face astfel: 85% din prețul alocat acesteia, după semnarea contractului de achiziție și publicarea anunțului de atribuire sau după anularea procedurii din motive neimputabile prestatorului; 15%, după predarea dosarului complet al achiziției și recepția contractului de achiziție.</w:t>
      </w:r>
    </w:p>
    <w:p>
      <w:pPr>
        <w:pStyle w:val="BodyText"/>
      </w:pPr>
      <w:r>
        <w:t xml:space="preserve">10.2. Plata se face în lei, prin ordin de plată, în maximum 30 de zile de la primirea facturii, însoțite de procesul-verbal de recepție. Factura menționează numărul contractului și codul SMIS 329008.</w:t>
      </w:r>
    </w:p>
    <w:p>
      <w:pPr>
        <w:pStyle w:val="BodyText"/>
      </w:pPr>
      <w:r>
        <w:t xml:space="preserve">10.3. Dacă o achiziție susținută este eliminată din PAP, prețul se reduce cu suma alocată acesteia în centralizator, prin act adițional.</w:t>
      </w:r>
    </w:p>
    <w:bookmarkEnd w:id="30"/>
    <w:bookmarkStart w:id="31" w:name="garanția-de-bună-execuție"/>
    <w:p>
      <w:pPr>
        <w:pStyle w:val="Heading1"/>
      </w:pPr>
      <w:r>
        <w:t xml:space="preserve">11. Garanția de bună execuție</w:t>
      </w:r>
    </w:p>
    <w:p>
      <w:pPr>
        <w:pStyle w:val="FirstParagraph"/>
      </w:pPr>
      <w:r>
        <w:t xml:space="preserve">11.1. Prestatorul constituie o garanție de bună execuție de 5% din prețul contractului fără TVA, adică [ ] lei, în termen de 5 zile lucrătoare de la semnare, prin instrument de garantare emis de o instituție de credit sau de o societate de asigurări ori prin rețineri succesive din plăți (art. 154 din Legea nr. 98/2016 și art. 39–42 din anexa la HG nr. 395/2016).</w:t>
      </w:r>
    </w:p>
    <w:p>
      <w:pPr>
        <w:pStyle w:val="BodyText"/>
      </w:pPr>
      <w:r>
        <w:t xml:space="preserve">11.2. Achizitorul are dreptul de a emite pretenții asupra garanției, în limita prejudiciului creat, dacă prestatorul nu își îndeplinește obligațiile contractuale, cu notificarea prealabilă a acestuia.</w:t>
      </w:r>
    </w:p>
    <w:p>
      <w:pPr>
        <w:pStyle w:val="BodyText"/>
      </w:pPr>
      <w:r>
        <w:t xml:space="preserve">11.3. Garanția se restituie în 14 zile de la îndeplinirea obligațiilor contractuale, dacă achizitorul nu a ridicat pretenții asupra ei.</w:t>
      </w:r>
    </w:p>
    <w:bookmarkEnd w:id="31"/>
    <w:bookmarkStart w:id="32" w:name="penalități-și-daune-interese"/>
    <w:p>
      <w:pPr>
        <w:pStyle w:val="Heading1"/>
      </w:pPr>
      <w:r>
        <w:t xml:space="preserve">12. Penalități și daune-interese</w:t>
      </w:r>
    </w:p>
    <w:p>
      <w:pPr>
        <w:pStyle w:val="FirstParagraph"/>
      </w:pPr>
      <w:r>
        <w:t xml:space="preserve">12.1. Pentru întârzierea predării unui livrabil, prestatorul datorează penalități de 0,1% din prețul contractului pentru fiecare zi de întârziere.</w:t>
      </w:r>
    </w:p>
    <w:p>
      <w:pPr>
        <w:pStyle w:val="BodyText"/>
      </w:pPr>
      <w:r>
        <w:t xml:space="preserve">12.2. Pentru neplata la termen, achizitorul datorează penalități de 0,1% din suma neplătită pentru fiecare zi de întârziere.</w:t>
      </w:r>
    </w:p>
    <w:p>
      <w:pPr>
        <w:pStyle w:val="BodyText"/>
      </w:pPr>
      <w:r>
        <w:t xml:space="preserve">12.3. Penalitățile nu pot depăși valoarea sumei asupra căreia sunt calculate.</w:t>
      </w:r>
    </w:p>
    <w:p>
      <w:pPr>
        <w:pStyle w:val="BodyText"/>
      </w:pPr>
      <w:r>
        <w:t xml:space="preserve">12.4. Dacă achizitorul suportă o corecție financiară cauzată direct de o eroare dintr-un document elaborat de prestator, pe care acesta nu a semnalat-o, prestatorul răspunde în limita prețului alocat achiziției respective.</w:t>
      </w:r>
    </w:p>
    <w:bookmarkEnd w:id="32"/>
    <w:bookmarkStart w:id="33" w:name="subcontractare-și-cesiune"/>
    <w:p>
      <w:pPr>
        <w:pStyle w:val="Heading1"/>
      </w:pPr>
      <w:r>
        <w:t xml:space="preserve">13. Subcontractare și cesiune</w:t>
      </w:r>
    </w:p>
    <w:p>
      <w:pPr>
        <w:pStyle w:val="FirstParagraph"/>
      </w:pPr>
      <w:r>
        <w:t xml:space="preserve">13.1. Prestatorul nu poate subcontracta serviciile fără acordul scris al achizitorului.</w:t>
      </w:r>
    </w:p>
    <w:p>
      <w:pPr>
        <w:pStyle w:val="BodyText"/>
      </w:pPr>
      <w:r>
        <w:t xml:space="preserve">13.2. Prestatorul nu poate cesiona obligațiile din contract. Cesiunea creanțelor este permisă cu notificarea achizitorului.</w:t>
      </w:r>
    </w:p>
    <w:bookmarkEnd w:id="33"/>
    <w:bookmarkStart w:id="34" w:name="forța-majoră"/>
    <w:p>
      <w:pPr>
        <w:pStyle w:val="Heading1"/>
      </w:pPr>
      <w:r>
        <w:t xml:space="preserve">14. Forța majoră</w:t>
      </w:r>
    </w:p>
    <w:p>
      <w:pPr>
        <w:pStyle w:val="FirstParagraph"/>
      </w:pPr>
      <w:r>
        <w:t xml:space="preserve">14.1. Forța majoră, constatată de o autoritate competentă, exonerează părțile de răspundere pe durata acesteia.</w:t>
      </w:r>
    </w:p>
    <w:p>
      <w:pPr>
        <w:pStyle w:val="BodyText"/>
      </w:pPr>
      <w:r>
        <w:t xml:space="preserve">14.2. Partea care invocă forța majoră o notifică celeilalte părți în cel mult 5 zile de la apariție și ia măsurile posibile pentru limitarea consecințelor.</w:t>
      </w:r>
    </w:p>
    <w:p>
      <w:pPr>
        <w:pStyle w:val="BodyText"/>
      </w:pPr>
      <w:r>
        <w:t xml:space="preserve">14.3. Dacă forța majoră durează mai mult de 3 luni, oricare parte poate denunța contractul, fără daune-interese.</w:t>
      </w:r>
    </w:p>
    <w:bookmarkEnd w:id="34"/>
    <w:bookmarkStart w:id="35" w:name="X170a2855a3fa5b9386c61e459661c0035b17ebb"/>
    <w:p>
      <w:pPr>
        <w:pStyle w:val="Heading1"/>
      </w:pPr>
      <w:r>
        <w:t xml:space="preserve">15. Confidențialitate, protecția datelor și drepturi asupra documentelor</w:t>
      </w:r>
    </w:p>
    <w:p>
      <w:pPr>
        <w:pStyle w:val="FirstParagraph"/>
      </w:pPr>
      <w:r>
        <w:t xml:space="preserve">15.1. Prestatorul nu divulgă informațiile obținute în executarea contractului, inclusiv conținutul ofertelor și al deliberărilor comisiilor de evaluare, pe durata contractului și 3 ani după încetarea acestuia, cu excepția cazurilor prevăzute de lege.</w:t>
      </w:r>
    </w:p>
    <w:p>
      <w:pPr>
        <w:pStyle w:val="BodyText"/>
      </w:pPr>
      <w:r>
        <w:t xml:space="preserve">15.2. Părțile prelucrează datele cu caracter personal conform Regulamentului (UE) 2016/679, numai în scopul executării contractului.</w:t>
      </w:r>
    </w:p>
    <w:p>
      <w:pPr>
        <w:pStyle w:val="BodyText"/>
      </w:pPr>
      <w:r>
        <w:t xml:space="preserve">15.3. Drepturile patrimoniale de autor asupra documentelor elaborate de prestator se transmit achizitorului de la data plății, fără limitare de durată sau teritoriu.</w:t>
      </w:r>
    </w:p>
    <w:bookmarkEnd w:id="35"/>
    <w:bookmarkStart w:id="36" w:name="încetarea-contractului"/>
    <w:p>
      <w:pPr>
        <w:pStyle w:val="Heading1"/>
      </w:pPr>
      <w:r>
        <w:t xml:space="preserve">16. Încetarea contractului</w:t>
      </w:r>
    </w:p>
    <w:p>
      <w:pPr>
        <w:pStyle w:val="FirstParagraph"/>
      </w:pPr>
      <w:r>
        <w:t xml:space="preserve">16.1. Contractul încetează prin îndeplinirea obligațiilor, prin acordul părților sau prin reziliere.</w:t>
      </w:r>
    </w:p>
    <w:p>
      <w:pPr>
        <w:pStyle w:val="BodyText"/>
      </w:pPr>
      <w:r>
        <w:t xml:space="preserve">16.2. Achizitorul poate rezilia contractul, cu notificare prealabilă de 15 zile, dacă prestatorul nu își îndeplinește obligațiile după o notificare de remediere sau încalcă obligațiile de la art. 7.1 lit. f) ori art. 15.1.</w:t>
      </w:r>
    </w:p>
    <w:p>
      <w:pPr>
        <w:pStyle w:val="BodyText"/>
      </w:pPr>
      <w:r>
        <w:t xml:space="preserve">16.3. Achizitorul poate denunța unilateral contractul în situațiile prevăzute la art. 222 din Legea nr. 98/2016.</w:t>
      </w:r>
    </w:p>
    <w:p>
      <w:pPr>
        <w:pStyle w:val="BodyText"/>
      </w:pPr>
      <w:r>
        <w:t xml:space="preserve">16.4. La încetarea anticipată, prestatorul are dreptul la plata serviciilor prestate și recepționate până la data încetării și predă achizitorului toate documentele elaborate.</w:t>
      </w:r>
    </w:p>
    <w:bookmarkEnd w:id="36"/>
    <w:bookmarkStart w:id="37" w:name="modificarea-contractului"/>
    <w:p>
      <w:pPr>
        <w:pStyle w:val="Heading1"/>
      </w:pPr>
      <w:r>
        <w:t xml:space="preserve">17. Modificarea contractului</w:t>
      </w:r>
    </w:p>
    <w:p>
      <w:pPr>
        <w:pStyle w:val="FirstParagraph"/>
      </w:pPr>
      <w:r>
        <w:t xml:space="preserve">17.1. Contractul se poate modifica prin act adițional numai în condițiile art. 221 din Legea nr. 98/2016.</w:t>
      </w:r>
    </w:p>
    <w:bookmarkEnd w:id="37"/>
    <w:bookmarkStart w:id="38" w:name="soluționarea-litigiilor"/>
    <w:p>
      <w:pPr>
        <w:pStyle w:val="Heading1"/>
      </w:pPr>
      <w:r>
        <w:t xml:space="preserve">18. Soluționarea litigiilor</w:t>
      </w:r>
    </w:p>
    <w:p>
      <w:pPr>
        <w:pStyle w:val="FirstParagraph"/>
      </w:pPr>
      <w:r>
        <w:t xml:space="preserve">18.1. Părțile soluționează pe cale amiabilă neînțelegerile apărute în executarea contractului.</w:t>
      </w:r>
    </w:p>
    <w:p>
      <w:pPr>
        <w:pStyle w:val="BodyText"/>
      </w:pPr>
      <w:r>
        <w:t xml:space="preserve">18.2. Dacă soluționarea amiabilă nu reușește, litigiile se soluționează de instanțele competente de la sediul achizitorului.</w:t>
      </w:r>
    </w:p>
    <w:bookmarkEnd w:id="38"/>
    <w:bookmarkStart w:id="39" w:name="limba-legea-aplicabilă-și-comunicări"/>
    <w:p>
      <w:pPr>
        <w:pStyle w:val="Heading1"/>
      </w:pPr>
      <w:r>
        <w:t xml:space="preserve">19. Limba, legea aplicabilă și comunicări</w:t>
      </w:r>
    </w:p>
    <w:p>
      <w:pPr>
        <w:pStyle w:val="FirstParagraph"/>
      </w:pPr>
      <w:r>
        <w:t xml:space="preserve">19.1. Contractul se redactează în limba română și este guvernat de legea română.</w:t>
      </w:r>
    </w:p>
    <w:p>
      <w:pPr>
        <w:pStyle w:val="BodyText"/>
      </w:pPr>
      <w:r>
        <w:t xml:space="preserve">19.2. Comunicările între părți se fac în scris, prin e-mail la [adresa achizitorului] și [adresa prestatorului] sau prin poștă, la sediile părților.</w:t>
      </w:r>
    </w:p>
    <w:bookmarkEnd w:id="39"/>
    <w:bookmarkStart w:id="40" w:name="dispoziții-finale"/>
    <w:p>
      <w:pPr>
        <w:pStyle w:val="Heading1"/>
      </w:pPr>
      <w:r>
        <w:t xml:space="preserve">20. Dispoziții finale</w:t>
      </w:r>
    </w:p>
    <w:p>
      <w:pPr>
        <w:pStyle w:val="FirstParagraph"/>
      </w:pPr>
      <w:r>
        <w:t xml:space="preserve">20.1. Contractul se încheie în format electronic, cu semnătură electronică extinsă a reprezentanților legali, sau în două exemplare originale, câte unul pentru fiecare parte.</w:t>
      </w:r>
    </w:p>
    <w:tbl>
      <w:tblPr>
        <w:tblStyle w:val="Table"/>
        <w:tblW w:type="auto" w:w="0"/>
        <w:tblLook w:firstRow="1" w:lastRow="0" w:firstColumn="0" w:lastColumn="0" w:noHBand="0" w:noVBand="0" w:val="0020"/>
        <w:jc w:val="start"/>
        <w:tblBorders>
          <w:top w:val="single" w:sz="4" w:color="808080"/>
          <w:left w:val="single" w:sz="4" w:color="808080"/>
          <w:bottom w:val="single" w:sz="4" w:color="808080"/>
          <w:right w:val="single" w:sz="4" w:color="808080"/>
          <w:insideH w:val="single" w:sz="4" w:color="808080"/>
          <w:insideV w:val="single" w:sz="4" w:color="808080"/>
        </w:tblBorders>
      </w:tblPr>
      <w:tblGrid>
        <w:gridCol w:w="3960"/>
        <w:gridCol w:w="3960"/>
      </w:tblGrid>
      <w:tr>
        <w:trPr>
          <w:tblHeader w:val="true"/>
        </w:trPr>
        <w:tc>
          <w:tcPr>
            <w:shd w:val="clear" w:fill="DCE6F0"/>
          </w:tcPr>
          <w:p>
            <w:pPr>
              <w:pStyle w:val="Compact"/>
              <w:jc w:val="left"/>
            </w:pPr>
            <w:r>
              <w:rPr>
                <w:b/>
                <w:sz w:val="17"/>
              </w:rPr>
              <w:t xml:space="preserve">ACHIZITOR</w:t>
            </w:r>
          </w:p>
        </w:tc>
        <w:tc>
          <w:tcPr>
            <w:shd w:val="clear" w:fill="DCE6F0"/>
          </w:tcPr>
          <w:p>
            <w:pPr>
              <w:pStyle w:val="Compact"/>
              <w:jc w:val="left"/>
            </w:pPr>
            <w:r>
              <w:rPr>
                <w:b/>
                <w:sz w:val="17"/>
              </w:rPr>
              <w:t xml:space="preserve">PRESTATOR</w:t>
            </w:r>
          </w:p>
        </w:tc>
      </w:tr>
      <w:tr>
        <w:tc>
          <w:tcPr/>
          <w:p>
            <w:pPr>
              <w:pStyle w:val="Compact"/>
              <w:jc w:val="left"/>
            </w:pPr>
            <w:r>
              <w:rPr>
                <w:sz w:val="17"/>
              </w:rPr>
              <w:t xml:space="preserve">ICPEST SRL</w:t>
            </w:r>
          </w:p>
        </w:tc>
        <w:tc>
          <w:tcPr/>
          <w:p>
            <w:pPr>
              <w:pStyle w:val="Compact"/>
              <w:jc w:val="left"/>
            </w:pPr>
            <w:r>
              <w:rPr>
                <w:sz w:val="17"/>
              </w:rPr>
              <w:t xml:space="preserve">[denumire]</w:t>
            </w:r>
          </w:p>
        </w:tc>
      </w:tr>
      <w:tr>
        <w:tc>
          <w:tcPr/>
          <w:p>
            <w:pPr>
              <w:pStyle w:val="Compact"/>
              <w:jc w:val="left"/>
            </w:pPr>
            <w:r>
              <w:rPr>
                <w:sz w:val="17"/>
              </w:rPr>
              <w:t xml:space="preserve">Reprezentant legal: [nume]</w:t>
            </w:r>
          </w:p>
        </w:tc>
        <w:tc>
          <w:tcPr/>
          <w:p>
            <w:pPr>
              <w:pStyle w:val="Compact"/>
              <w:jc w:val="left"/>
            </w:pPr>
            <w:r>
              <w:rPr>
                <w:sz w:val="17"/>
              </w:rPr>
              <w:t xml:space="preserve">Reprezentant legal: [nume]</w:t>
            </w:r>
          </w:p>
        </w:tc>
      </w:tr>
      <w:tr>
        <w:tc>
          <w:tcPr/>
          <w:p>
            <w:pPr>
              <w:pStyle w:val="Compact"/>
              <w:jc w:val="left"/>
            </w:pPr>
            <w:r>
              <w:rPr>
                <w:sz w:val="17"/>
              </w:rPr>
              <w:t xml:space="preserve">Semnătura:</w:t>
            </w:r>
          </w:p>
        </w:tc>
        <w:tc>
          <w:tcPr/>
          <w:p>
            <w:pPr>
              <w:pStyle w:val="Compact"/>
              <w:jc w:val="left"/>
            </w:pPr>
            <w:r>
              <w:rPr>
                <w:sz w:val="17"/>
              </w:rPr>
              <w:t xml:space="preserve">Semnătura:</w:t>
            </w:r>
          </w:p>
        </w:tc>
      </w:tr>
      <w:tr>
        <w:tc>
          <w:tcPr/>
          <w:p>
            <w:pPr>
              <w:pStyle w:val="Compact"/>
              <w:jc w:val="left"/>
            </w:pPr>
            <w:r>
              <w:rPr>
                <w:sz w:val="17"/>
              </w:rPr>
              <w:t xml:space="preserve">Avizat financiar: [ ]</w:t>
            </w:r>
          </w:p>
        </w:tc>
        <w:tc>
          <w:tcPr/>
          <w:p>
            <w:pPr>
              <w:pStyle w:val="Compact"/>
            </w:pPr>
          </w:p>
        </w:tc>
      </w:tr>
      <w:tr>
        <w:tc>
          <w:tcPr/>
          <w:p>
            <w:pPr>
              <w:pStyle w:val="Compact"/>
              <w:jc w:val="left"/>
            </w:pPr>
            <w:r>
              <w:rPr>
                <w:sz w:val="17"/>
              </w:rPr>
              <w:t xml:space="preserve">Avizat juridic: [ ]</w:t>
            </w:r>
          </w:p>
        </w:tc>
        <w:tc>
          <w:tcPr/>
          <w:p>
            <w:pPr>
              <w:pStyle w:val="Compact"/>
            </w:pPr>
          </w:p>
        </w:tc>
      </w:tr>
    </w:tbl>
    <w:bookmarkEnd w:id="40"/>
    <w:sectPr>
      <w:headerReference w:type="default" r:id="rId9"/>
      <w:footerReference w:type="default" r:id="rId10"/>
      <w:pgSz w:w="11906" w:h="16838"/>
      <w:pgMar w:left="1134" w:right="1134"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Char w:fldCharType="begin"/>
      <w:instrText>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ICPEST SRL – Proiect ProCAES (SMIS 329008) – Achiziție directă AD26 – Consultanță în achiziții publice</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21">
    <w:nsid w:val="A9972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o-RO"/>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eastAsia="Arial" w:cs="Arial"/>
      <w:sz w:val="20"/>
    </w:rPr>
  </w:style>
  <w:style w:styleId="BodyText" w:type="paragraph">
    <w:name w:val="Body Text"/>
    <w:basedOn w:val="Normal"/>
    <w:link w:val="BodyTextChar"/>
    <w:pPr>
      <w:spacing w:after="180" w:before="180"/>
    </w:pPr>
    <w:qFormat/>
    <w:rPr>
      <w:rFonts w:ascii="Arial" w:hAnsi="Arial" w:eastAsia="Arial" w:cs="Arial"/>
      <w:sz w:val="20"/>
    </w:rPr>
  </w:style>
  <w:style w:customStyle="1" w:styleId="FirstParagraph" w:type="paragraph">
    <w:name w:val="First Paragraph"/>
    <w:basedOn w:val="BodyText"/>
    <w:next w:val="BodyText"/>
    <w:qFormat/>
    <w:rPr>
      <w:rFonts w:ascii="Arial" w:hAnsi="Arial" w:eastAsia="Arial" w:cs="Arial"/>
      <w:sz w:val="20"/>
    </w:rPr>
  </w:style>
  <w:style w:customStyle="1" w:styleId="Compact" w:type="paragraph">
    <w:name w:val="Compact"/>
    <w:basedOn w:val="BodyText"/>
    <w:qFormat/>
    <w:pPr>
      <w:spacing w:after="36" w:before="36"/>
    </w:pPr>
    <w:rPr>
      <w:rFonts w:ascii="Arial" w:hAnsi="Arial" w:eastAsia="Arial" w:cs="Arial"/>
      <w:sz w:val="18"/>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ascii="Arial" w:hAnsi="Arial" w:eastAsia="Arial" w:cs="Arial"/>
      <w:b/>
      <w:bCs/>
      <w:color w:val="1F3A5F"/>
      <w:sz w:val="30"/>
      <w:szCs w:val="36"/>
    </w:rPr>
  </w:style>
  <w:style w:styleId="Subtitle" w:type="paragraph">
    <w:name w:val="Subtitle"/>
    <w:basedOn w:val="Title"/>
    <w:next w:val="BodyText"/>
    <w:qFormat/>
    <w:pPr>
      <w:keepNext/>
      <w:keepLines/>
      <w:spacing w:after="240" w:before="240"/>
      <w:jc w:val="center"/>
    </w:pPr>
    <w:rPr>
      <w:rFonts w:ascii="Arial" w:hAnsi="Arial" w:eastAsia="Arial" w:cs="Arial"/>
      <w:b/>
      <w:color w:val="1F3A5F"/>
      <w:sz w:val="22"/>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SERVICII</dc:title>
  <dc:creator>ICPEST SRL</dc:creator>
  <dc:language>ro-RO</dc:language>
  <cp:keywords/>
  <dcterms:created xsi:type="dcterms:W3CDTF">2026-10-28T07:02:32Z</dcterms:created>
  <dcterms:modified xsi:type="dcterms:W3CDTF">2026-10-28T07:02:32Z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nr. [ ] / [zz.ll.aaaa]</vt:lpwstr>
  </property>
</Properties>
</file>